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07" w:rsidRPr="00455707" w:rsidRDefault="00455707" w:rsidP="00CF44B2">
      <w:pPr>
        <w:spacing w:after="120"/>
        <w:ind w:left="720" w:right="972"/>
        <w:jc w:val="both"/>
        <w:rPr>
          <w:rFonts w:ascii="Arial" w:hAnsi="Arial" w:cs="Arial"/>
          <w:sz w:val="18"/>
          <w14:textFill>
            <w14:solidFill>
              <w14:schemeClr w14:val="tx1">
                <w14:lumMod w14:val="65000"/>
                <w14:lumOff w14:val="35000"/>
                <w14:lumMod w14:val="85000"/>
                <w14:lumOff w14:val="15000"/>
                <w14:lumMod w14:val="85000"/>
              </w14:schemeClr>
            </w14:solidFill>
          </w14:textFill>
        </w:rPr>
      </w:pPr>
      <w:bookmarkStart w:id="0" w:name="_GoBack"/>
      <w:bookmarkEnd w:id="0"/>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Note: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endeavors to ensure that the information in this Product Description is correct and fairly stated as of the </w:t>
      </w:r>
      <w:r w:rsidR="00CF44B2">
        <w:rPr>
          <w:rFonts w:ascii="Arial" w:hAnsi="Arial" w:cs="Arial"/>
          <w:sz w:val="18"/>
          <w14:textFill>
            <w14:solidFill>
              <w14:schemeClr w14:val="tx1">
                <w14:lumMod w14:val="65000"/>
                <w14:lumOff w14:val="35000"/>
                <w14:lumMod w14:val="85000"/>
                <w14:lumOff w14:val="15000"/>
                <w14:lumMod w14:val="85000"/>
              </w14:schemeClr>
            </w14:solidFill>
          </w14:textFill>
        </w:rPr>
        <w:t xml:space="preserve">publication </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date</w:t>
      </w:r>
      <w:r w:rsidR="00CF44B2">
        <w:rPr>
          <w:rFonts w:ascii="Arial" w:hAnsi="Arial" w:cs="Arial"/>
          <w:sz w:val="18"/>
          <w14:textFill>
            <w14:solidFill>
              <w14:schemeClr w14:val="tx1">
                <w14:lumMod w14:val="65000"/>
                <w14:lumOff w14:val="35000"/>
                <w14:lumMod w14:val="85000"/>
                <w14:lumOff w14:val="15000"/>
                <w14:lumMod w14:val="85000"/>
              </w14:schemeClr>
            </w14:solidFill>
          </w14:textFill>
        </w:rPr>
        <w:t xml:space="preserve"> indicated</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but does not accept liability for any error, omission or future modification.  As with all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 xml:space="preserve"> products and services, the development of Connected Payments / Connected Payments is continuous and this Product Description is subject to change without notice.  Published information may not be up to date and it is important to check the current position with </w:t>
      </w:r>
      <w:r>
        <w:rPr>
          <w:rFonts w:ascii="Arial" w:hAnsi="Arial" w:cs="Arial"/>
          <w:sz w:val="18"/>
          <w14:textFill>
            <w14:solidFill>
              <w14:schemeClr w14:val="tx1">
                <w14:lumMod w14:val="65000"/>
                <w14:lumOff w14:val="35000"/>
                <w14:lumMod w14:val="85000"/>
                <w14:lumOff w14:val="15000"/>
                <w14:lumMod w14:val="85000"/>
              </w14:schemeClr>
            </w14:solidFill>
          </w14:textFill>
        </w:rPr>
        <w:t>NCR</w:t>
      </w:r>
      <w:r w:rsidRPr="00455707">
        <w:rPr>
          <w:rFonts w:ascii="Arial" w:hAnsi="Arial" w:cs="Arial"/>
          <w:sz w:val="18"/>
          <w14:textFill>
            <w14:solidFill>
              <w14:schemeClr w14:val="tx1">
                <w14:lumMod w14:val="65000"/>
                <w14:lumOff w14:val="35000"/>
                <w14:lumMod w14:val="85000"/>
                <w14:lumOff w14:val="15000"/>
                <w14:lumMod w14:val="85000"/>
              </w14:schemeClr>
            </w14:solidFill>
          </w14:textFill>
        </w:rPr>
        <w:t>.</w:t>
      </w:r>
    </w:p>
    <w:p w:rsidR="00455707" w:rsidRDefault="00455707" w:rsidP="00455707">
      <w:pPr>
        <w:spacing w:after="120"/>
        <w:rPr>
          <w:rStyle w:val="Strong"/>
          <w:rFonts w:eastAsiaTheme="minorHAnsi"/>
        </w:rPr>
      </w:pPr>
    </w:p>
    <w:p w:rsidR="00455707" w:rsidRDefault="00455707" w:rsidP="00455707">
      <w:pPr>
        <w:spacing w:after="120"/>
        <w:rPr>
          <w:rStyle w:val="Strong"/>
          <w:rFonts w:eastAsiaTheme="minorHAnsi"/>
        </w:rPr>
      </w:pPr>
      <w:r w:rsidRPr="00455707">
        <w:rPr>
          <w:rStyle w:val="Strong"/>
          <w:rFonts w:eastAsiaTheme="minorHAnsi"/>
        </w:rPr>
        <w:t>CONNECTED PAYMENTS COMPONENTS</w:t>
      </w:r>
    </w:p>
    <w:p w:rsidR="00455707" w:rsidRDefault="00455707" w:rsidP="005C16D3">
      <w:pPr>
        <w:pStyle w:val="Numbered"/>
        <w:numPr>
          <w:ilvl w:val="0"/>
          <w:numId w:val="8"/>
        </w:numPr>
        <w:spacing w:after="120"/>
        <w:ind w:left="360" w:hanging="360"/>
      </w:pPr>
      <w:r>
        <w:t>The “OpenEPS” component resides in each POS terminal and is responsible for managing the interfaces between:</w:t>
      </w:r>
    </w:p>
    <w:p w:rsidR="00455707" w:rsidRDefault="00455707" w:rsidP="005C16D3">
      <w:pPr>
        <w:pStyle w:val="Numbered"/>
        <w:numPr>
          <w:ilvl w:val="1"/>
          <w:numId w:val="4"/>
        </w:numPr>
        <w:spacing w:after="120"/>
        <w:ind w:left="720"/>
      </w:pPr>
      <w:r>
        <w:t>The POS terminal software and the payments system</w:t>
      </w:r>
    </w:p>
    <w:p w:rsidR="00455707" w:rsidRDefault="00455707" w:rsidP="005C16D3">
      <w:pPr>
        <w:pStyle w:val="Numbered"/>
        <w:numPr>
          <w:ilvl w:val="1"/>
          <w:numId w:val="4"/>
        </w:numPr>
        <w:spacing w:after="120"/>
        <w:ind w:left="720"/>
      </w:pPr>
      <w:r>
        <w:t>The payments system and the electronic payments terminal (“PIN pad”)</w:t>
      </w:r>
    </w:p>
    <w:p w:rsidR="00455707" w:rsidRDefault="00455707" w:rsidP="005C16D3">
      <w:pPr>
        <w:pStyle w:val="Numbered"/>
        <w:numPr>
          <w:ilvl w:val="1"/>
          <w:numId w:val="4"/>
        </w:numPr>
        <w:spacing w:after="120"/>
        <w:ind w:left="720"/>
      </w:pPr>
      <w:r>
        <w:t>The terminal-based functions and the data centers</w:t>
      </w:r>
    </w:p>
    <w:p w:rsidR="00455707" w:rsidRDefault="00455707" w:rsidP="005C16D3">
      <w:pPr>
        <w:pStyle w:val="Numbered"/>
        <w:numPr>
          <w:ilvl w:val="0"/>
          <w:numId w:val="8"/>
        </w:numPr>
        <w:spacing w:after="120"/>
        <w:ind w:left="360" w:hanging="360"/>
      </w:pPr>
      <w:r>
        <w:t>The OpenEPS component may enable encrypted communications between the payments terminal and OpenEPS, depending upon the version of OpenEPS installed; the make, model and version of the payments terminal; and the then-current capabilities of the payments terminal software.</w:t>
      </w:r>
    </w:p>
    <w:p w:rsidR="00455707" w:rsidRDefault="00455707" w:rsidP="005C16D3">
      <w:pPr>
        <w:pStyle w:val="Numbered"/>
        <w:numPr>
          <w:ilvl w:val="0"/>
          <w:numId w:val="8"/>
        </w:numPr>
        <w:spacing w:after="120"/>
        <w:ind w:left="360" w:hanging="360"/>
      </w:pPr>
      <w:r>
        <w:t xml:space="preserve">The OpenEPS component provides terminal-level functions, the operation of which being determined by configurable settings.  </w:t>
      </w:r>
    </w:p>
    <w:p w:rsidR="00455707" w:rsidRDefault="00455707" w:rsidP="005C16D3">
      <w:pPr>
        <w:pStyle w:val="Numbered"/>
        <w:numPr>
          <w:ilvl w:val="1"/>
          <w:numId w:val="4"/>
        </w:numPr>
        <w:spacing w:after="120"/>
        <w:ind w:left="720"/>
      </w:pPr>
      <w:r>
        <w:t>Such terminal-level functions include receiving and sending messages to the POS terminal software regarding payment requests, including acknowledgements, transaction amounts, types, approvals, denials, transaction time-outs and so forth.</w:t>
      </w:r>
    </w:p>
    <w:p w:rsidR="00455707" w:rsidRDefault="00455707" w:rsidP="005C16D3">
      <w:pPr>
        <w:pStyle w:val="Numbered"/>
        <w:numPr>
          <w:ilvl w:val="1"/>
          <w:numId w:val="4"/>
        </w:numPr>
        <w:spacing w:after="120"/>
        <w:ind w:left="720"/>
      </w:pPr>
      <w:r>
        <w:t>Off-Line Stand-In is offered, and if enabled, provides authorizations for certain transactions during periods where communications to the data centers or processor is not available.  Once communications are restored, the transactions are communicated to the data centers and forwarded to the data centers for processing.</w:t>
      </w:r>
    </w:p>
    <w:p w:rsidR="00455707" w:rsidRDefault="00455707" w:rsidP="005C16D3">
      <w:pPr>
        <w:pStyle w:val="Numbered"/>
        <w:numPr>
          <w:ilvl w:val="1"/>
          <w:numId w:val="4"/>
        </w:numPr>
        <w:spacing w:after="120"/>
        <w:ind w:left="720"/>
      </w:pPr>
      <w:r>
        <w:t>Further detail regarding terminal functions and their configuration is available in the applicable User Reference manuals.</w:t>
      </w:r>
    </w:p>
    <w:p w:rsidR="00455707" w:rsidRDefault="00455707" w:rsidP="005C16D3">
      <w:pPr>
        <w:pStyle w:val="Numbered"/>
        <w:numPr>
          <w:ilvl w:val="0"/>
          <w:numId w:val="8"/>
        </w:numPr>
        <w:spacing w:after="120"/>
        <w:ind w:left="360" w:hanging="360"/>
      </w:pPr>
      <w:r>
        <w:t xml:space="preserve">The OpenEPS component communicates with the data center components over IP in order to execute transactions with a payments processor. </w:t>
      </w:r>
    </w:p>
    <w:p w:rsidR="00455707" w:rsidRDefault="00455707" w:rsidP="005C16D3">
      <w:pPr>
        <w:pStyle w:val="Numbered"/>
        <w:numPr>
          <w:ilvl w:val="1"/>
          <w:numId w:val="4"/>
        </w:numPr>
        <w:spacing w:after="120"/>
        <w:ind w:left="720"/>
      </w:pPr>
      <w:r>
        <w:t>OpenEPS communications to the data centers are via encrypted and certified data packages.</w:t>
      </w:r>
    </w:p>
    <w:p w:rsidR="00455707" w:rsidRDefault="00455707" w:rsidP="005C16D3">
      <w:pPr>
        <w:pStyle w:val="Numbered"/>
        <w:numPr>
          <w:ilvl w:val="1"/>
          <w:numId w:val="4"/>
        </w:numPr>
        <w:spacing w:after="120"/>
        <w:ind w:left="720"/>
      </w:pPr>
      <w:r>
        <w:t>OpenEPS can communicate with either data center, that selection depending upon status of the data center and other selection factors.</w:t>
      </w:r>
    </w:p>
    <w:p w:rsidR="00455707" w:rsidRDefault="00455707" w:rsidP="005C16D3">
      <w:pPr>
        <w:pStyle w:val="Numbered"/>
        <w:numPr>
          <w:ilvl w:val="0"/>
          <w:numId w:val="8"/>
        </w:numPr>
        <w:spacing w:after="120"/>
        <w:ind w:left="360" w:hanging="360"/>
      </w:pPr>
      <w:r>
        <w:t>A “Dial Backup Client” component can enable communications to the Connected Payments data center(s) via an alternate Internet connection - such as a broadband or voice-grade line connected to an ISP - and from there to the Internet.  This component is designed to work with the OpenEPS components to open a dial-up connection to enable continued communications during network outages affecting the primary Internet connection from the store.</w:t>
      </w:r>
    </w:p>
    <w:p w:rsidR="00455707" w:rsidRDefault="00455707" w:rsidP="005C16D3">
      <w:pPr>
        <w:pStyle w:val="Numbered"/>
        <w:numPr>
          <w:ilvl w:val="0"/>
          <w:numId w:val="8"/>
        </w:numPr>
        <w:spacing w:after="120"/>
        <w:ind w:left="360" w:hanging="360"/>
      </w:pPr>
      <w:r>
        <w:t>The data center components, also known as “Connected Payments,” are in general responsible for:</w:t>
      </w:r>
    </w:p>
    <w:p w:rsidR="00455707" w:rsidRDefault="00455707" w:rsidP="005C16D3">
      <w:pPr>
        <w:pStyle w:val="Numbered"/>
        <w:numPr>
          <w:ilvl w:val="1"/>
          <w:numId w:val="4"/>
        </w:numPr>
        <w:spacing w:after="120"/>
        <w:ind w:left="720"/>
      </w:pPr>
      <w:r>
        <w:t>Direct communications between the data centers and the OpenEPS components in the POS terminals, including receipt of electronic payments transaction requests and sending of authorizations received from the processor</w:t>
      </w:r>
    </w:p>
    <w:p w:rsidR="00455707" w:rsidRDefault="00455707" w:rsidP="005C16D3">
      <w:pPr>
        <w:pStyle w:val="Numbered"/>
        <w:numPr>
          <w:ilvl w:val="1"/>
          <w:numId w:val="4"/>
        </w:numPr>
        <w:spacing w:after="120"/>
        <w:ind w:left="720"/>
      </w:pPr>
      <w:r>
        <w:t>Direct communications between the data centers and the payment processors, including sending electronic payments transaction requests from the merchant and receiving of authorizations and other responses</w:t>
      </w:r>
    </w:p>
    <w:p w:rsidR="00455707" w:rsidRDefault="00455707" w:rsidP="005C16D3">
      <w:pPr>
        <w:pStyle w:val="Numbered"/>
        <w:numPr>
          <w:ilvl w:val="1"/>
          <w:numId w:val="4"/>
        </w:numPr>
        <w:spacing w:after="120"/>
        <w:ind w:left="720"/>
      </w:pPr>
      <w:r>
        <w:t>Logging, storage and retrieval of payment transaction requests and authorizations via reporting and electronic journaling applications</w:t>
      </w:r>
    </w:p>
    <w:p w:rsidR="00455707" w:rsidRDefault="00455707" w:rsidP="005C16D3">
      <w:pPr>
        <w:pStyle w:val="Numbered"/>
        <w:numPr>
          <w:ilvl w:val="1"/>
          <w:numId w:val="4"/>
        </w:numPr>
        <w:spacing w:after="120"/>
        <w:ind w:left="720"/>
      </w:pPr>
      <w:r>
        <w:t>Access to data, journals and reports by authorized users.  Thirteen (13) months of data are available</w:t>
      </w:r>
    </w:p>
    <w:p w:rsidR="00455707" w:rsidRDefault="00455707" w:rsidP="005C16D3">
      <w:pPr>
        <w:pStyle w:val="Numbered"/>
        <w:numPr>
          <w:ilvl w:val="1"/>
          <w:numId w:val="4"/>
        </w:numPr>
        <w:spacing w:after="120"/>
        <w:ind w:left="720"/>
      </w:pPr>
      <w:r>
        <w:t>Remote configuration of parameters for OpenEPS components</w:t>
      </w:r>
    </w:p>
    <w:p w:rsidR="00455707" w:rsidRDefault="00455707" w:rsidP="005C16D3">
      <w:pPr>
        <w:pStyle w:val="Numbered"/>
        <w:numPr>
          <w:ilvl w:val="1"/>
          <w:numId w:val="4"/>
        </w:numPr>
        <w:spacing w:after="120"/>
        <w:ind w:left="720"/>
      </w:pPr>
      <w:r>
        <w:t>Remote download of store-level software updates</w:t>
      </w:r>
    </w:p>
    <w:p w:rsidR="00455707" w:rsidRDefault="00455707" w:rsidP="005C16D3">
      <w:pPr>
        <w:pStyle w:val="Numbered"/>
        <w:numPr>
          <w:ilvl w:val="1"/>
          <w:numId w:val="4"/>
        </w:numPr>
        <w:spacing w:after="120"/>
        <w:ind w:left="720"/>
      </w:pPr>
      <w:r>
        <w:t>Automated remote tracking of payments terminals by type and serial number and providing reports regarding this information</w:t>
      </w:r>
    </w:p>
    <w:p w:rsidR="00455707" w:rsidRDefault="00455707" w:rsidP="005C16D3">
      <w:pPr>
        <w:pStyle w:val="Numbered"/>
        <w:numPr>
          <w:ilvl w:val="1"/>
          <w:numId w:val="4"/>
        </w:numPr>
        <w:spacing w:after="120"/>
        <w:ind w:left="720"/>
      </w:pPr>
      <w:r>
        <w:t>Further detail regarding data center user functions available in the Connected Payments User Reference manual.</w:t>
      </w:r>
    </w:p>
    <w:p w:rsidR="00455707" w:rsidRPr="00455707" w:rsidRDefault="00455707" w:rsidP="00455707">
      <w:pPr>
        <w:spacing w:before="240" w:after="120"/>
        <w:rPr>
          <w:rStyle w:val="Strong"/>
          <w:rFonts w:eastAsiaTheme="minorHAnsi"/>
        </w:rPr>
      </w:pPr>
      <w:r w:rsidRPr="00455707">
        <w:rPr>
          <w:rStyle w:val="Strong"/>
          <w:rFonts w:eastAsiaTheme="minorHAnsi"/>
        </w:rPr>
        <w:lastRenderedPageBreak/>
        <w:t>CONNECTED PAYMENTS REPLICATION</w:t>
      </w:r>
    </w:p>
    <w:p w:rsidR="00455707" w:rsidRDefault="00455707" w:rsidP="005C16D3">
      <w:pPr>
        <w:pStyle w:val="Numbered"/>
        <w:numPr>
          <w:ilvl w:val="0"/>
          <w:numId w:val="12"/>
        </w:numPr>
        <w:spacing w:after="120"/>
        <w:ind w:left="360" w:hanging="360"/>
      </w:pPr>
      <w:r>
        <w:t>Connected Payments normally operates two data centers in order to provide communications and functions if one of the data centers is not available</w:t>
      </w:r>
    </w:p>
    <w:p w:rsidR="00455707" w:rsidRDefault="00455707" w:rsidP="005C16D3">
      <w:pPr>
        <w:pStyle w:val="Numbered"/>
        <w:numPr>
          <w:ilvl w:val="0"/>
          <w:numId w:val="8"/>
        </w:numPr>
        <w:spacing w:after="120"/>
        <w:ind w:left="360" w:hanging="360"/>
      </w:pPr>
      <w:r>
        <w:t>Each data center employs multiple incoming Internet services to provide Internet communications during service outages from any specific provider</w:t>
      </w:r>
    </w:p>
    <w:p w:rsidR="00455707" w:rsidRDefault="00455707" w:rsidP="005C16D3">
      <w:pPr>
        <w:pStyle w:val="Numbered"/>
        <w:numPr>
          <w:ilvl w:val="0"/>
          <w:numId w:val="8"/>
        </w:numPr>
        <w:spacing w:after="120"/>
        <w:ind w:left="360" w:hanging="360"/>
      </w:pPr>
      <w:r>
        <w:t>Each data center may employ multiple leased lines to processors in order to provide continued communications via a processor in case of a line or service outage.  While NCR encourages the implementation of such multiple lines, these lines and routing hardware on either side of these lines, together with the appropriate firewalls, are the property and responsibility of the processors, as is the decision regarding the number and providers of such facilities.</w:t>
      </w:r>
    </w:p>
    <w:p w:rsidR="00455707" w:rsidRPr="00455707" w:rsidRDefault="00455707" w:rsidP="00455707">
      <w:pPr>
        <w:spacing w:before="240" w:after="120"/>
        <w:rPr>
          <w:rStyle w:val="Strong"/>
          <w:rFonts w:eastAsiaTheme="minorHAnsi"/>
        </w:rPr>
      </w:pPr>
      <w:r w:rsidRPr="00455707">
        <w:rPr>
          <w:rStyle w:val="Strong"/>
          <w:rFonts w:eastAsiaTheme="minorHAnsi"/>
        </w:rPr>
        <w:t>CONNECTED PAYMENTS SECURITY</w:t>
      </w:r>
    </w:p>
    <w:p w:rsidR="00455707" w:rsidRDefault="00455707" w:rsidP="005C16D3">
      <w:pPr>
        <w:pStyle w:val="Numbered"/>
        <w:numPr>
          <w:ilvl w:val="0"/>
          <w:numId w:val="10"/>
        </w:numPr>
        <w:spacing w:after="120"/>
        <w:ind w:left="360" w:hanging="360"/>
      </w:pPr>
      <w:r>
        <w:t>Connected Payments uses encrypted, certificated and/or tokenized communications between all components during the transaction process.</w:t>
      </w:r>
    </w:p>
    <w:p w:rsidR="00455707" w:rsidRDefault="00455707" w:rsidP="005C16D3">
      <w:pPr>
        <w:pStyle w:val="Numbered"/>
        <w:numPr>
          <w:ilvl w:val="0"/>
          <w:numId w:val="8"/>
        </w:numPr>
        <w:spacing w:after="120"/>
        <w:ind w:left="360" w:hanging="360"/>
      </w:pPr>
      <w:r>
        <w:t>Depending upon the PIN pad used and available software, hardware encryption or software encryption may be available, with this encryption commencing at the point of card swipe.</w:t>
      </w:r>
    </w:p>
    <w:p w:rsidR="00455707" w:rsidRDefault="00455707" w:rsidP="005C16D3">
      <w:pPr>
        <w:pStyle w:val="Numbered"/>
        <w:numPr>
          <w:ilvl w:val="0"/>
          <w:numId w:val="8"/>
        </w:numPr>
        <w:spacing w:after="120"/>
        <w:ind w:left="360" w:hanging="360"/>
      </w:pPr>
      <w:r>
        <w:t>Each server or server group in the data centers, including database, front-end communications, back-end communications and Web service servers are protected by hardware firewalls.</w:t>
      </w:r>
    </w:p>
    <w:p w:rsidR="00455707" w:rsidRDefault="00455707" w:rsidP="005C16D3">
      <w:pPr>
        <w:pStyle w:val="Numbered"/>
        <w:numPr>
          <w:ilvl w:val="0"/>
          <w:numId w:val="8"/>
        </w:numPr>
        <w:spacing w:after="120"/>
        <w:ind w:left="360" w:hanging="360"/>
      </w:pPr>
      <w:r>
        <w:t>The Connected Payments system is continuously monitored with detection mechanisms against attempted hacks or break-ins.</w:t>
      </w:r>
    </w:p>
    <w:p w:rsidR="00455707" w:rsidRDefault="00455707" w:rsidP="005C16D3">
      <w:pPr>
        <w:pStyle w:val="Numbered"/>
        <w:numPr>
          <w:ilvl w:val="0"/>
          <w:numId w:val="8"/>
        </w:numPr>
        <w:spacing w:after="120"/>
        <w:ind w:left="360" w:hanging="360"/>
      </w:pPr>
      <w:r>
        <w:t>Data is stored and transmitted using encrypted formats such as Triple DES, SSL and 128-bit or 256-bit AES</w:t>
      </w:r>
    </w:p>
    <w:p w:rsidR="00455707" w:rsidRDefault="00455707" w:rsidP="005C16D3">
      <w:pPr>
        <w:pStyle w:val="Numbered"/>
        <w:numPr>
          <w:ilvl w:val="0"/>
          <w:numId w:val="8"/>
        </w:numPr>
        <w:spacing w:after="120"/>
        <w:ind w:left="360" w:hanging="360"/>
      </w:pPr>
      <w:r>
        <w:t>Card data, including the Primary Account Number (PAN) is available to reporting functions in truncated form only.</w:t>
      </w:r>
    </w:p>
    <w:p w:rsidR="00455707" w:rsidRDefault="00455707" w:rsidP="005C16D3">
      <w:pPr>
        <w:pStyle w:val="Numbered"/>
        <w:numPr>
          <w:ilvl w:val="0"/>
          <w:numId w:val="8"/>
        </w:numPr>
        <w:spacing w:after="120"/>
        <w:ind w:left="360" w:hanging="360"/>
      </w:pPr>
      <w:r>
        <w:t xml:space="preserve">Card data is truncated at the data centers after approximately 30 days, regardless of its encrypted or tokenized storage.   </w:t>
      </w:r>
    </w:p>
    <w:p w:rsidR="00455707" w:rsidRDefault="00455707" w:rsidP="005C16D3">
      <w:pPr>
        <w:pStyle w:val="Numbered"/>
        <w:numPr>
          <w:ilvl w:val="0"/>
          <w:numId w:val="8"/>
        </w:numPr>
        <w:spacing w:after="120"/>
        <w:ind w:left="360" w:hanging="360"/>
      </w:pPr>
      <w:r>
        <w:t xml:space="preserve">The Connected Payments system does not store or retain any card data at store-level that is not then/currently in the transaction process.   </w:t>
      </w:r>
    </w:p>
    <w:p w:rsidR="00455707" w:rsidRPr="00455707" w:rsidRDefault="00455707" w:rsidP="00455707">
      <w:pPr>
        <w:spacing w:before="240" w:after="120"/>
        <w:rPr>
          <w:rStyle w:val="Strong"/>
          <w:rFonts w:eastAsiaTheme="minorHAnsi"/>
        </w:rPr>
      </w:pPr>
      <w:r w:rsidRPr="00455707">
        <w:rPr>
          <w:rStyle w:val="Strong"/>
          <w:rFonts w:eastAsiaTheme="minorHAnsi"/>
        </w:rPr>
        <w:t>CONNECTED PAYMENTS PROCESSORS</w:t>
      </w:r>
    </w:p>
    <w:p w:rsidR="00455707" w:rsidRDefault="00455707" w:rsidP="005C16D3">
      <w:pPr>
        <w:pStyle w:val="Numbered"/>
        <w:numPr>
          <w:ilvl w:val="0"/>
          <w:numId w:val="11"/>
        </w:numPr>
        <w:spacing w:after="120"/>
        <w:ind w:left="360" w:hanging="360"/>
      </w:pPr>
      <w:r>
        <w:t xml:space="preserve">Connected Payments provides the data, reporting and routing functions described above, but NCR expressly does not provide any payment processing functions.  </w:t>
      </w:r>
    </w:p>
    <w:p w:rsidR="00455707" w:rsidRDefault="00455707" w:rsidP="00455707">
      <w:pPr>
        <w:pStyle w:val="Numbered"/>
        <w:numPr>
          <w:ilvl w:val="0"/>
          <w:numId w:val="8"/>
        </w:numPr>
        <w:spacing w:after="120"/>
        <w:ind w:left="360" w:hanging="360"/>
      </w:pPr>
      <w:r>
        <w:t>Connected Payments works with payment processing partners to provide all payment acquisi</w:t>
      </w:r>
      <w:r w:rsidR="00B10A8E">
        <w:t xml:space="preserve">tion and processing services. </w:t>
      </w:r>
    </w:p>
    <w:p w:rsidR="00EF5FB5" w:rsidRDefault="00EF5FB5" w:rsidP="00EF5FB5">
      <w:pPr>
        <w:pStyle w:val="Numbered"/>
        <w:numPr>
          <w:ilvl w:val="0"/>
          <w:numId w:val="0"/>
        </w:numPr>
        <w:spacing w:after="120"/>
        <w:ind w:left="1080" w:hanging="720"/>
      </w:pPr>
    </w:p>
    <w:sectPr w:rsidR="00EF5FB5" w:rsidSect="00663EA7">
      <w:headerReference w:type="even" r:id="rId9"/>
      <w:headerReference w:type="default" r:id="rId10"/>
      <w:footerReference w:type="even" r:id="rId11"/>
      <w:footerReference w:type="default" r:id="rId12"/>
      <w:headerReference w:type="first" r:id="rId13"/>
      <w:footerReference w:type="first" r:id="rId14"/>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44E" w:rsidRDefault="005B244E" w:rsidP="00C02DE2">
      <w:pPr>
        <w:spacing w:after="0"/>
      </w:pPr>
      <w:r>
        <w:separator/>
      </w:r>
    </w:p>
    <w:p w:rsidR="005B244E" w:rsidRDefault="005B244E"/>
  </w:endnote>
  <w:endnote w:type="continuationSeparator" w:id="0">
    <w:p w:rsidR="005B244E" w:rsidRDefault="005B244E" w:rsidP="00C02DE2">
      <w:pPr>
        <w:spacing w:after="0"/>
      </w:pPr>
      <w:r>
        <w:continuationSeparator/>
      </w:r>
    </w:p>
    <w:p w:rsidR="005B244E" w:rsidRDefault="005B2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EF5FB5" w:rsidRDefault="00EF5FB5" w:rsidP="00EF5FB5">
    <w:pPr>
      <w:tabs>
        <w:tab w:val="center" w:pos="5220"/>
        <w:tab w:val="right" w:pos="10530"/>
      </w:tabs>
      <w:spacing w:after="0"/>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pPr>
    <w:r w:rsidRPr="00EF5FB5">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94080" behindDoc="0" locked="0" layoutInCell="1" allowOverlap="1" wp14:anchorId="34D67CB0" wp14:editId="237A354B">
              <wp:simplePos x="0" y="0"/>
              <wp:positionH relativeFrom="column">
                <wp:posOffset>0</wp:posOffset>
              </wp:positionH>
              <wp:positionV relativeFrom="paragraph">
                <wp:posOffset>-76200</wp:posOffset>
              </wp:positionV>
              <wp:extent cx="6675120" cy="0"/>
              <wp:effectExtent l="0" t="0" r="11430" b="19050"/>
              <wp:wrapNone/>
              <wp:docPr id="1" name="Straight Connector 32"/>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3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" strokecolor="#48a43e" strokeweight=".5pt"/>
          </w:pict>
        </mc:Fallback>
      </mc:AlternateContent>
    </w:r>
    <w:r w:rsidRPr="00EF5FB5">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v9.0, 18-Nov-14</w:t>
    </w:r>
    <w:r w:rsidRPr="00EF5FB5">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Connected Payments Product Description</w:t>
    </w:r>
    <w:r w:rsidRPr="00EF5FB5">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ab/>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A65487">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2</w: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A65487">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2</w:t>
    </w:r>
    <w:r w:rsidRPr="00EF5FB5">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44E" w:rsidRDefault="005B244E" w:rsidP="00C02DE2">
      <w:pPr>
        <w:spacing w:after="0"/>
      </w:pPr>
      <w:r>
        <w:separator/>
      </w:r>
    </w:p>
  </w:footnote>
  <w:footnote w:type="continuationSeparator" w:id="0">
    <w:p w:rsidR="005B244E" w:rsidRDefault="005B244E" w:rsidP="00C02DE2">
      <w:pPr>
        <w:spacing w:after="0"/>
      </w:pPr>
      <w:r>
        <w:continuationSeparator/>
      </w:r>
    </w:p>
    <w:p w:rsidR="005B244E" w:rsidRDefault="005B24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455707" w:rsidRDefault="00EF5FB5"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Pr>
        <w:rStyle w:val="Heading0"/>
      </w:rPr>
      <w:t>Connected Payments Product Description</w:t>
    </w:r>
    <w:r w:rsidR="00E07C00">
      <w:rPr>
        <w:noProof/>
      </w:rPr>
      <w:drawing>
        <wp:anchor distT="0" distB="0" distL="114300" distR="114300" simplePos="0" relativeHeight="251692032" behindDoc="1" locked="0" layoutInCell="1" allowOverlap="1" wp14:anchorId="0AD72E4B" wp14:editId="7C17B70E">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41" name="Picture 41"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cumentProtection w:edit="forms" w:enforcement="1" w:cryptProviderType="rsaFull" w:cryptAlgorithmClass="hash" w:cryptAlgorithmType="typeAny" w:cryptAlgorithmSid="4" w:cryptSpinCount="100000" w:hash="euFSt0/HKmEv6NHfKZfrnVO5jSE=" w:salt="2Qg/0oefg6QrZVp4IhFGC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53537"/>
    <w:rsid w:val="0006209C"/>
    <w:rsid w:val="00091D11"/>
    <w:rsid w:val="000E1013"/>
    <w:rsid w:val="00144599"/>
    <w:rsid w:val="00150FD9"/>
    <w:rsid w:val="001E306D"/>
    <w:rsid w:val="002147BB"/>
    <w:rsid w:val="00296499"/>
    <w:rsid w:val="002A767D"/>
    <w:rsid w:val="002B6FE7"/>
    <w:rsid w:val="002C317A"/>
    <w:rsid w:val="00397903"/>
    <w:rsid w:val="003B1E4A"/>
    <w:rsid w:val="003E32A3"/>
    <w:rsid w:val="00454BE2"/>
    <w:rsid w:val="00455707"/>
    <w:rsid w:val="0047524E"/>
    <w:rsid w:val="004766E5"/>
    <w:rsid w:val="0053350C"/>
    <w:rsid w:val="005649F6"/>
    <w:rsid w:val="00576534"/>
    <w:rsid w:val="00582918"/>
    <w:rsid w:val="005B244E"/>
    <w:rsid w:val="005C16D3"/>
    <w:rsid w:val="005E3E58"/>
    <w:rsid w:val="00663EA7"/>
    <w:rsid w:val="00671D6B"/>
    <w:rsid w:val="00683C57"/>
    <w:rsid w:val="00687D9F"/>
    <w:rsid w:val="006B3047"/>
    <w:rsid w:val="006C25C9"/>
    <w:rsid w:val="00746BF3"/>
    <w:rsid w:val="0075349F"/>
    <w:rsid w:val="007675E7"/>
    <w:rsid w:val="00770ED1"/>
    <w:rsid w:val="007A5B8E"/>
    <w:rsid w:val="007B06AA"/>
    <w:rsid w:val="007D30A6"/>
    <w:rsid w:val="00802907"/>
    <w:rsid w:val="0082321F"/>
    <w:rsid w:val="0083401B"/>
    <w:rsid w:val="00835D21"/>
    <w:rsid w:val="008B6D35"/>
    <w:rsid w:val="008D3AE1"/>
    <w:rsid w:val="009533F6"/>
    <w:rsid w:val="0099688C"/>
    <w:rsid w:val="009C3374"/>
    <w:rsid w:val="009D7751"/>
    <w:rsid w:val="009F241E"/>
    <w:rsid w:val="00A65487"/>
    <w:rsid w:val="00A77B42"/>
    <w:rsid w:val="00AC25F1"/>
    <w:rsid w:val="00AF0A82"/>
    <w:rsid w:val="00B10A8E"/>
    <w:rsid w:val="00B26CCD"/>
    <w:rsid w:val="00B32480"/>
    <w:rsid w:val="00B419F1"/>
    <w:rsid w:val="00B467FF"/>
    <w:rsid w:val="00B53BBA"/>
    <w:rsid w:val="00B922BC"/>
    <w:rsid w:val="00BE012A"/>
    <w:rsid w:val="00C02DE2"/>
    <w:rsid w:val="00C804FB"/>
    <w:rsid w:val="00CF44B2"/>
    <w:rsid w:val="00D41D1D"/>
    <w:rsid w:val="00D52230"/>
    <w:rsid w:val="00DA046D"/>
    <w:rsid w:val="00DA4200"/>
    <w:rsid w:val="00DC3851"/>
    <w:rsid w:val="00DC43E0"/>
    <w:rsid w:val="00E07C00"/>
    <w:rsid w:val="00E1452C"/>
    <w:rsid w:val="00E4030F"/>
    <w:rsid w:val="00E45D49"/>
    <w:rsid w:val="00E73260"/>
    <w:rsid w:val="00EA41AE"/>
    <w:rsid w:val="00EF07E1"/>
    <w:rsid w:val="00EF5FB5"/>
    <w:rsid w:val="00F94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982907">
      <w:bodyDiv w:val="1"/>
      <w:marLeft w:val="0"/>
      <w:marRight w:val="0"/>
      <w:marTop w:val="0"/>
      <w:marBottom w:val="0"/>
      <w:divBdr>
        <w:top w:val="none" w:sz="0" w:space="0" w:color="auto"/>
        <w:left w:val="none" w:sz="0" w:space="0" w:color="auto"/>
        <w:bottom w:val="none" w:sz="0" w:space="0" w:color="auto"/>
        <w:right w:val="none" w:sz="0" w:space="0" w:color="auto"/>
      </w:divBdr>
    </w:div>
    <w:div w:id="1512646134">
      <w:bodyDiv w:val="1"/>
      <w:marLeft w:val="0"/>
      <w:marRight w:val="0"/>
      <w:marTop w:val="0"/>
      <w:marBottom w:val="0"/>
      <w:divBdr>
        <w:top w:val="none" w:sz="0" w:space="0" w:color="auto"/>
        <w:left w:val="none" w:sz="0" w:space="0" w:color="auto"/>
        <w:bottom w:val="none" w:sz="0" w:space="0" w:color="auto"/>
        <w:right w:val="none" w:sz="0" w:space="0" w:color="auto"/>
      </w:divBdr>
    </w:div>
    <w:div w:id="201399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AE942-94AB-4B1E-B833-604765A1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Off-Line Stand-In Option and Information Form to Connected Payments Subscription Agreement</vt:lpstr>
    </vt:vector>
  </TitlesOfParts>
  <Company>NCR Corporation</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Payments Product Description, Connected Payments Subscription Agreement</dc:title>
  <dc:subject>Connected Payments</dc:subject>
  <dc:creator>van Seventer, Antony</dc:creator>
  <cp:keywords>Product Description Connected Payments, ServerEPS, subscription agreement, contract</cp:keywords>
  <dc:description>Connected Payments Product Description, to Connected Payments Subscription Agreement, version 9.0, 18-Nov-14</dc:description>
  <cp:lastModifiedBy>van Seventer, Antony</cp:lastModifiedBy>
  <cp:revision>3</cp:revision>
  <cp:lastPrinted>2014-11-18T19:12:00Z</cp:lastPrinted>
  <dcterms:created xsi:type="dcterms:W3CDTF">2014-11-18T19:20:00Z</dcterms:created>
  <dcterms:modified xsi:type="dcterms:W3CDTF">2014-11-18T20:48:00Z</dcterms:modified>
  <cp:category>Agreements</cp:category>
</cp:coreProperties>
</file>